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D5" w:rsidRPr="006C5ED4" w:rsidRDefault="006C5ED4" w:rsidP="006C5ED4">
      <w:pPr>
        <w:pBdr>
          <w:top w:val="single" w:sz="4" w:space="1" w:color="auto"/>
          <w:left w:val="single" w:sz="4" w:space="4" w:color="auto"/>
          <w:bottom w:val="single" w:sz="4" w:space="1" w:color="auto"/>
          <w:right w:val="single" w:sz="4" w:space="4" w:color="auto"/>
        </w:pBdr>
        <w:jc w:val="center"/>
        <w:rPr>
          <w:b/>
          <w:bCs/>
          <w:sz w:val="40"/>
          <w:szCs w:val="40"/>
        </w:rPr>
      </w:pPr>
      <w:r w:rsidRPr="006C5ED4">
        <w:rPr>
          <w:b/>
          <w:bCs/>
          <w:sz w:val="40"/>
          <w:szCs w:val="40"/>
        </w:rPr>
        <w:t>Service Restauration Hébergement</w:t>
      </w:r>
    </w:p>
    <w:p w:rsidR="004909E3" w:rsidRDefault="004909E3">
      <w:pPr>
        <w:jc w:val="both"/>
        <w:rPr>
          <w:b/>
          <w:bCs/>
        </w:rPr>
      </w:pPr>
    </w:p>
    <w:p w:rsidR="004909E3" w:rsidRPr="00976B02" w:rsidRDefault="004909E3">
      <w:pPr>
        <w:pStyle w:val="Titre2"/>
        <w:jc w:val="both"/>
        <w:rPr>
          <w:sz w:val="24"/>
        </w:rPr>
      </w:pPr>
      <w:r w:rsidRPr="00976B02">
        <w:rPr>
          <w:sz w:val="24"/>
        </w:rPr>
        <w:t xml:space="preserve">Organisation </w:t>
      </w:r>
    </w:p>
    <w:p w:rsidR="004909E3" w:rsidRDefault="004909E3">
      <w:pPr>
        <w:jc w:val="both"/>
        <w:rPr>
          <w:b/>
          <w:bCs/>
          <w:sz w:val="22"/>
          <w:u w:val="single"/>
        </w:rPr>
      </w:pPr>
    </w:p>
    <w:p w:rsidR="004909E3" w:rsidRDefault="004909E3">
      <w:pPr>
        <w:ind w:left="708"/>
        <w:jc w:val="both"/>
        <w:rPr>
          <w:sz w:val="22"/>
        </w:rPr>
      </w:pPr>
      <w:r>
        <w:rPr>
          <w:sz w:val="22"/>
        </w:rPr>
        <w:sym w:font="Wingdings" w:char="F0D6"/>
      </w:r>
      <w:r>
        <w:rPr>
          <w:sz w:val="22"/>
        </w:rPr>
        <w:t>Le S</w:t>
      </w:r>
      <w:r w:rsidR="006C5ED4">
        <w:rPr>
          <w:sz w:val="22"/>
        </w:rPr>
        <w:t>RH</w:t>
      </w:r>
      <w:r>
        <w:rPr>
          <w:sz w:val="22"/>
        </w:rPr>
        <w:t xml:space="preserve"> est ouvert du lundi au vendredi aux élèves demi-pensionnaires et internes.</w:t>
      </w:r>
    </w:p>
    <w:p w:rsidR="004909E3" w:rsidRDefault="004909E3">
      <w:pPr>
        <w:ind w:left="708"/>
        <w:jc w:val="both"/>
        <w:rPr>
          <w:sz w:val="22"/>
        </w:rPr>
      </w:pPr>
    </w:p>
    <w:p w:rsidR="004909E3" w:rsidRDefault="004909E3">
      <w:pPr>
        <w:pStyle w:val="Retraitcorpsdetexte"/>
      </w:pPr>
      <w:r>
        <w:sym w:font="Wingdings" w:char="F0D6"/>
      </w:r>
      <w:r>
        <w:t xml:space="preserve"> Le régime des élèves (demi-pension</w:t>
      </w:r>
      <w:r w:rsidR="00010C88">
        <w:t xml:space="preserve"> 4 ou 5 jours</w:t>
      </w:r>
      <w:r>
        <w:t xml:space="preserve"> et internat) est </w:t>
      </w:r>
      <w:r w:rsidRPr="00CE1750">
        <w:rPr>
          <w:b/>
        </w:rPr>
        <w:t>forfaitaire et trimestriel</w:t>
      </w:r>
      <w:r>
        <w:t xml:space="preserve">. </w:t>
      </w:r>
      <w:r w:rsidRPr="00CE1750">
        <w:rPr>
          <w:u w:val="single"/>
        </w:rPr>
        <w:t>Les changements de régime</w:t>
      </w:r>
      <w:r w:rsidR="00773DDA" w:rsidRPr="00CE1750">
        <w:rPr>
          <w:u w:val="single"/>
        </w:rPr>
        <w:t xml:space="preserve"> </w:t>
      </w:r>
      <w:r w:rsidRPr="00CE1750">
        <w:rPr>
          <w:u w:val="single"/>
        </w:rPr>
        <w:t>(externat, demi-pension, internat) ne peuvent i</w:t>
      </w:r>
      <w:r w:rsidR="00E56EDD" w:rsidRPr="00CE1750">
        <w:rPr>
          <w:u w:val="single"/>
        </w:rPr>
        <w:t>ntervenir en cours de trimestre</w:t>
      </w:r>
      <w:r w:rsidR="00E56EDD">
        <w:t> ;</w:t>
      </w:r>
      <w:r>
        <w:t xml:space="preserve"> </w:t>
      </w:r>
      <w:r w:rsidR="00CE1750">
        <w:t xml:space="preserve">ils </w:t>
      </w:r>
      <w:r>
        <w:t>doivent être formulés par écrit et</w:t>
      </w:r>
      <w:r w:rsidR="00E56EDD">
        <w:t>,</w:t>
      </w:r>
      <w:r>
        <w:t xml:space="preserve"> sauf cas de force majeure (maladie, déménagement…)</w:t>
      </w:r>
      <w:r w:rsidR="00E56EDD">
        <w:t>,</w:t>
      </w:r>
      <w:r>
        <w:t xml:space="preserve"> dûment justifié</w:t>
      </w:r>
      <w:r w:rsidR="00E56EDD">
        <w:t>s.</w:t>
      </w:r>
      <w:r w:rsidR="00505739">
        <w:t xml:space="preserve"> Ils</w:t>
      </w:r>
      <w:r>
        <w:t xml:space="preserve"> reste</w:t>
      </w:r>
      <w:r w:rsidR="00505739">
        <w:t>nt</w:t>
      </w:r>
      <w:r>
        <w:t xml:space="preserve"> à l’appréciation du Chef d’Etablissement.</w:t>
      </w:r>
    </w:p>
    <w:p w:rsidR="004909E3" w:rsidRDefault="004909E3">
      <w:pPr>
        <w:ind w:left="708"/>
        <w:jc w:val="both"/>
        <w:rPr>
          <w:sz w:val="22"/>
        </w:rPr>
      </w:pPr>
    </w:p>
    <w:p w:rsidR="004909E3" w:rsidRDefault="004909E3">
      <w:pPr>
        <w:ind w:left="708"/>
        <w:jc w:val="both"/>
        <w:rPr>
          <w:sz w:val="22"/>
        </w:rPr>
      </w:pPr>
    </w:p>
    <w:p w:rsidR="004909E3" w:rsidRDefault="004909E3">
      <w:pPr>
        <w:ind w:left="708"/>
        <w:jc w:val="both"/>
        <w:rPr>
          <w:sz w:val="22"/>
        </w:rPr>
      </w:pPr>
      <w:r>
        <w:rPr>
          <w:b/>
          <w:bCs/>
          <w:sz w:val="22"/>
        </w:rPr>
        <w:sym w:font="Wingdings" w:char="F0D6"/>
      </w:r>
      <w:r>
        <w:rPr>
          <w:b/>
          <w:bCs/>
          <w:sz w:val="22"/>
        </w:rPr>
        <w:t xml:space="preserve"> </w:t>
      </w:r>
      <w:r w:rsidR="00773DDA">
        <w:rPr>
          <w:b/>
          <w:bCs/>
          <w:sz w:val="22"/>
        </w:rPr>
        <w:t>R</w:t>
      </w:r>
      <w:r>
        <w:rPr>
          <w:sz w:val="22"/>
        </w:rPr>
        <w:t>épartition des jours trimestriels, en fonction du calendrier scolaire.</w:t>
      </w:r>
    </w:p>
    <w:p w:rsidR="004909E3" w:rsidRDefault="004909E3">
      <w:pPr>
        <w:ind w:left="708"/>
        <w:jc w:val="both"/>
        <w:rPr>
          <w:sz w:val="22"/>
        </w:rPr>
      </w:pPr>
    </w:p>
    <w:p w:rsidR="004909E3" w:rsidRDefault="004909E3">
      <w:pPr>
        <w:ind w:left="708"/>
        <w:jc w:val="both"/>
        <w:rPr>
          <w:sz w:val="22"/>
        </w:rPr>
      </w:pPr>
      <w:r>
        <w:rPr>
          <w:sz w:val="22"/>
        </w:rPr>
        <w:sym w:font="Wingdings" w:char="F0C4"/>
      </w:r>
      <w:r w:rsidR="006C5ED4">
        <w:rPr>
          <w:sz w:val="22"/>
        </w:rPr>
        <w:t xml:space="preserve"> L</w:t>
      </w:r>
      <w:r>
        <w:rPr>
          <w:sz w:val="22"/>
        </w:rPr>
        <w:t>’année administrative étant de 1</w:t>
      </w:r>
      <w:r w:rsidR="00773DDA">
        <w:rPr>
          <w:sz w:val="22"/>
        </w:rPr>
        <w:t>80</w:t>
      </w:r>
      <w:r>
        <w:rPr>
          <w:sz w:val="22"/>
        </w:rPr>
        <w:t xml:space="preserve"> jours, le calendrier s’établit comme suit</w:t>
      </w:r>
      <w:r w:rsidR="00773DDA">
        <w:rPr>
          <w:sz w:val="22"/>
        </w:rPr>
        <w:t>.</w:t>
      </w:r>
      <w:r>
        <w:rPr>
          <w:sz w:val="22"/>
        </w:rPr>
        <w:t xml:space="preserve">  </w:t>
      </w:r>
    </w:p>
    <w:p w:rsidR="00DA0386" w:rsidRDefault="00DA0386">
      <w:pPr>
        <w:ind w:left="708"/>
        <w:jc w:val="both"/>
        <w:rPr>
          <w:sz w:val="22"/>
        </w:rPr>
      </w:pPr>
    </w:p>
    <w:p w:rsidR="004909E3" w:rsidRDefault="004909E3">
      <w:pPr>
        <w:ind w:left="708"/>
        <w:jc w:val="both"/>
        <w:rPr>
          <w:sz w:val="22"/>
        </w:rPr>
      </w:pPr>
      <w:r>
        <w:rPr>
          <w:sz w:val="22"/>
        </w:rPr>
        <w:t>- 1</w:t>
      </w:r>
      <w:r>
        <w:rPr>
          <w:sz w:val="22"/>
          <w:vertAlign w:val="superscript"/>
        </w:rPr>
        <w:t>er</w:t>
      </w:r>
      <w:r>
        <w:rPr>
          <w:sz w:val="22"/>
        </w:rPr>
        <w:t xml:space="preserve"> terme : janvier/mars</w:t>
      </w:r>
      <w:r>
        <w:rPr>
          <w:sz w:val="22"/>
        </w:rPr>
        <w:tab/>
      </w:r>
      <w:r>
        <w:rPr>
          <w:sz w:val="22"/>
        </w:rPr>
        <w:tab/>
      </w:r>
      <w:r w:rsidR="000E0278">
        <w:rPr>
          <w:sz w:val="22"/>
        </w:rPr>
        <w:t>54</w:t>
      </w:r>
      <w:r>
        <w:rPr>
          <w:sz w:val="22"/>
        </w:rPr>
        <w:t xml:space="preserve"> jours</w:t>
      </w:r>
    </w:p>
    <w:p w:rsidR="004909E3" w:rsidRDefault="004909E3">
      <w:pPr>
        <w:ind w:left="708"/>
        <w:jc w:val="both"/>
        <w:rPr>
          <w:sz w:val="22"/>
        </w:rPr>
      </w:pPr>
      <w:r>
        <w:rPr>
          <w:sz w:val="22"/>
        </w:rPr>
        <w:t>- 2</w:t>
      </w:r>
      <w:r>
        <w:rPr>
          <w:sz w:val="22"/>
          <w:vertAlign w:val="superscript"/>
        </w:rPr>
        <w:t>ème</w:t>
      </w:r>
      <w:r>
        <w:rPr>
          <w:sz w:val="22"/>
        </w:rPr>
        <w:t xml:space="preserve"> terme : avril/juillet</w:t>
      </w:r>
      <w:r>
        <w:rPr>
          <w:sz w:val="22"/>
        </w:rPr>
        <w:tab/>
      </w:r>
      <w:r>
        <w:rPr>
          <w:sz w:val="22"/>
        </w:rPr>
        <w:tab/>
      </w:r>
      <w:r w:rsidR="000E0278">
        <w:rPr>
          <w:sz w:val="22"/>
        </w:rPr>
        <w:t>60</w:t>
      </w:r>
      <w:r w:rsidR="00773DDA">
        <w:rPr>
          <w:sz w:val="22"/>
        </w:rPr>
        <w:t xml:space="preserve"> </w:t>
      </w:r>
      <w:r>
        <w:rPr>
          <w:sz w:val="22"/>
        </w:rPr>
        <w:t>jours</w:t>
      </w:r>
    </w:p>
    <w:p w:rsidR="004909E3" w:rsidRDefault="004909E3">
      <w:pPr>
        <w:ind w:left="708"/>
        <w:jc w:val="both"/>
        <w:rPr>
          <w:sz w:val="22"/>
        </w:rPr>
      </w:pPr>
      <w:r>
        <w:rPr>
          <w:sz w:val="22"/>
        </w:rPr>
        <w:t>- 3</w:t>
      </w:r>
      <w:r>
        <w:rPr>
          <w:sz w:val="22"/>
          <w:vertAlign w:val="superscript"/>
        </w:rPr>
        <w:t>ème</w:t>
      </w:r>
      <w:r>
        <w:rPr>
          <w:sz w:val="22"/>
        </w:rPr>
        <w:t xml:space="preserve"> terme : septembre/décembre</w:t>
      </w:r>
      <w:r>
        <w:rPr>
          <w:sz w:val="22"/>
        </w:rPr>
        <w:tab/>
      </w:r>
      <w:r w:rsidR="000E0278">
        <w:rPr>
          <w:sz w:val="22"/>
        </w:rPr>
        <w:t>66</w:t>
      </w:r>
      <w:r>
        <w:rPr>
          <w:sz w:val="22"/>
        </w:rPr>
        <w:t xml:space="preserve"> jours</w:t>
      </w:r>
    </w:p>
    <w:p w:rsidR="004909E3" w:rsidRDefault="004909E3">
      <w:pPr>
        <w:ind w:left="708"/>
        <w:jc w:val="both"/>
        <w:rPr>
          <w:sz w:val="22"/>
        </w:rPr>
      </w:pPr>
    </w:p>
    <w:p w:rsidR="004909E3" w:rsidRDefault="004909E3">
      <w:pPr>
        <w:ind w:left="708"/>
        <w:jc w:val="both"/>
        <w:rPr>
          <w:sz w:val="22"/>
        </w:rPr>
      </w:pPr>
    </w:p>
    <w:p w:rsidR="004909E3" w:rsidRDefault="004909E3">
      <w:pPr>
        <w:numPr>
          <w:ilvl w:val="1"/>
          <w:numId w:val="1"/>
        </w:numPr>
        <w:jc w:val="both"/>
        <w:rPr>
          <w:sz w:val="22"/>
        </w:rPr>
      </w:pPr>
      <w:r>
        <w:rPr>
          <w:sz w:val="22"/>
        </w:rPr>
        <w:t>Les tarifs annuels et trimestriels se répartissent comme suit :</w:t>
      </w:r>
    </w:p>
    <w:p w:rsidR="004909E3" w:rsidRDefault="004909E3">
      <w:pPr>
        <w:jc w:val="both"/>
        <w:rPr>
          <w:sz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6"/>
        <w:gridCol w:w="1687"/>
        <w:gridCol w:w="1664"/>
        <w:gridCol w:w="1737"/>
        <w:gridCol w:w="1718"/>
      </w:tblGrid>
      <w:tr w:rsidR="004909E3" w:rsidTr="00DA0386">
        <w:tc>
          <w:tcPr>
            <w:tcW w:w="1842" w:type="dxa"/>
            <w:vAlign w:val="center"/>
          </w:tcPr>
          <w:p w:rsidR="004909E3" w:rsidRPr="00DA0386" w:rsidRDefault="004909E3" w:rsidP="00DA0386">
            <w:pPr>
              <w:rPr>
                <w:b/>
                <w:sz w:val="22"/>
              </w:rPr>
            </w:pPr>
            <w:r w:rsidRPr="00DA0386">
              <w:rPr>
                <w:b/>
                <w:sz w:val="22"/>
              </w:rPr>
              <w:t>Régimes</w:t>
            </w:r>
          </w:p>
        </w:tc>
        <w:tc>
          <w:tcPr>
            <w:tcW w:w="1842" w:type="dxa"/>
            <w:vAlign w:val="center"/>
          </w:tcPr>
          <w:p w:rsidR="004909E3" w:rsidRDefault="004909E3" w:rsidP="00DA0386">
            <w:pPr>
              <w:jc w:val="center"/>
              <w:rPr>
                <w:b/>
                <w:bCs/>
                <w:sz w:val="22"/>
              </w:rPr>
            </w:pPr>
            <w:r>
              <w:rPr>
                <w:b/>
                <w:bCs/>
                <w:sz w:val="22"/>
              </w:rPr>
              <w:t>janvier-mars</w:t>
            </w:r>
          </w:p>
        </w:tc>
        <w:tc>
          <w:tcPr>
            <w:tcW w:w="1842" w:type="dxa"/>
            <w:vAlign w:val="center"/>
          </w:tcPr>
          <w:p w:rsidR="004909E3" w:rsidRDefault="004909E3" w:rsidP="00DA0386">
            <w:pPr>
              <w:jc w:val="center"/>
              <w:rPr>
                <w:b/>
                <w:bCs/>
                <w:sz w:val="22"/>
              </w:rPr>
            </w:pPr>
            <w:r>
              <w:rPr>
                <w:b/>
                <w:bCs/>
                <w:sz w:val="22"/>
              </w:rPr>
              <w:t>avril-juillet</w:t>
            </w:r>
          </w:p>
        </w:tc>
        <w:tc>
          <w:tcPr>
            <w:tcW w:w="1843" w:type="dxa"/>
            <w:vAlign w:val="center"/>
          </w:tcPr>
          <w:p w:rsidR="004909E3" w:rsidRDefault="004909E3" w:rsidP="00DA0386">
            <w:pPr>
              <w:jc w:val="center"/>
              <w:rPr>
                <w:b/>
                <w:bCs/>
                <w:sz w:val="22"/>
              </w:rPr>
            </w:pPr>
            <w:r>
              <w:rPr>
                <w:b/>
                <w:bCs/>
                <w:sz w:val="22"/>
              </w:rPr>
              <w:t>septembre-décembre</w:t>
            </w:r>
          </w:p>
        </w:tc>
        <w:tc>
          <w:tcPr>
            <w:tcW w:w="1843" w:type="dxa"/>
            <w:vAlign w:val="center"/>
          </w:tcPr>
          <w:p w:rsidR="004909E3" w:rsidRDefault="004909E3" w:rsidP="00DA0386">
            <w:pPr>
              <w:jc w:val="center"/>
              <w:rPr>
                <w:b/>
                <w:bCs/>
                <w:sz w:val="22"/>
              </w:rPr>
            </w:pPr>
            <w:r>
              <w:rPr>
                <w:b/>
                <w:bCs/>
                <w:sz w:val="22"/>
              </w:rPr>
              <w:t>ANNUEL</w:t>
            </w:r>
          </w:p>
        </w:tc>
      </w:tr>
      <w:tr w:rsidR="004909E3" w:rsidTr="00CE1750">
        <w:tc>
          <w:tcPr>
            <w:tcW w:w="1842" w:type="dxa"/>
          </w:tcPr>
          <w:p w:rsidR="004909E3" w:rsidRDefault="004909E3">
            <w:pPr>
              <w:jc w:val="both"/>
              <w:rPr>
                <w:sz w:val="22"/>
              </w:rPr>
            </w:pPr>
            <w:r w:rsidRPr="00105672">
              <w:rPr>
                <w:b/>
                <w:sz w:val="22"/>
              </w:rPr>
              <w:t>Demi-pension</w:t>
            </w:r>
            <w:r w:rsidR="00CE1750" w:rsidRPr="00105672">
              <w:rPr>
                <w:b/>
                <w:sz w:val="22"/>
              </w:rPr>
              <w:t xml:space="preserve"> 4 jours</w:t>
            </w:r>
            <w:r w:rsidR="00CE1750">
              <w:rPr>
                <w:sz w:val="22"/>
              </w:rPr>
              <w:t xml:space="preserve"> (L Ma J V)</w:t>
            </w:r>
          </w:p>
        </w:tc>
        <w:tc>
          <w:tcPr>
            <w:tcW w:w="1842" w:type="dxa"/>
            <w:vAlign w:val="center"/>
          </w:tcPr>
          <w:p w:rsidR="004909E3" w:rsidRDefault="00010C88" w:rsidP="00CE1750">
            <w:pPr>
              <w:jc w:val="center"/>
              <w:rPr>
                <w:sz w:val="22"/>
              </w:rPr>
            </w:pPr>
            <w:r>
              <w:rPr>
                <w:sz w:val="22"/>
              </w:rPr>
              <w:t>129.00</w:t>
            </w:r>
            <w:r w:rsidR="00CE1750">
              <w:rPr>
                <w:sz w:val="22"/>
              </w:rPr>
              <w:t xml:space="preserve"> €</w:t>
            </w:r>
          </w:p>
        </w:tc>
        <w:tc>
          <w:tcPr>
            <w:tcW w:w="1842" w:type="dxa"/>
            <w:vAlign w:val="center"/>
          </w:tcPr>
          <w:p w:rsidR="004909E3" w:rsidRDefault="00010C88" w:rsidP="00CE1750">
            <w:pPr>
              <w:jc w:val="center"/>
              <w:rPr>
                <w:sz w:val="22"/>
              </w:rPr>
            </w:pPr>
            <w:r>
              <w:rPr>
                <w:sz w:val="22"/>
              </w:rPr>
              <w:t>141.00</w:t>
            </w:r>
            <w:r w:rsidR="00CE1750">
              <w:rPr>
                <w:sz w:val="22"/>
              </w:rPr>
              <w:t xml:space="preserve"> </w:t>
            </w:r>
            <w:r w:rsidR="004909E3">
              <w:rPr>
                <w:sz w:val="22"/>
              </w:rPr>
              <w:t>€</w:t>
            </w:r>
          </w:p>
        </w:tc>
        <w:tc>
          <w:tcPr>
            <w:tcW w:w="1843" w:type="dxa"/>
            <w:vAlign w:val="center"/>
          </w:tcPr>
          <w:p w:rsidR="004909E3" w:rsidRDefault="00010C88" w:rsidP="00CE1750">
            <w:pPr>
              <w:jc w:val="center"/>
              <w:rPr>
                <w:sz w:val="22"/>
              </w:rPr>
            </w:pPr>
            <w:r>
              <w:rPr>
                <w:sz w:val="22"/>
              </w:rPr>
              <w:t>162.00</w:t>
            </w:r>
            <w:r w:rsidR="00CE1750">
              <w:rPr>
                <w:sz w:val="22"/>
              </w:rPr>
              <w:t xml:space="preserve"> </w:t>
            </w:r>
            <w:r w:rsidR="004909E3">
              <w:rPr>
                <w:sz w:val="22"/>
              </w:rPr>
              <w:t>€</w:t>
            </w:r>
          </w:p>
        </w:tc>
        <w:tc>
          <w:tcPr>
            <w:tcW w:w="1843" w:type="dxa"/>
            <w:vAlign w:val="center"/>
          </w:tcPr>
          <w:p w:rsidR="004909E3" w:rsidRDefault="00CE1750" w:rsidP="00CE1750">
            <w:pPr>
              <w:jc w:val="center"/>
              <w:rPr>
                <w:sz w:val="22"/>
              </w:rPr>
            </w:pPr>
            <w:r>
              <w:rPr>
                <w:sz w:val="22"/>
              </w:rPr>
              <w:t xml:space="preserve">432.00 </w:t>
            </w:r>
            <w:r w:rsidR="004909E3">
              <w:rPr>
                <w:sz w:val="22"/>
              </w:rPr>
              <w:t>€</w:t>
            </w:r>
          </w:p>
        </w:tc>
      </w:tr>
      <w:tr w:rsidR="00CE1750" w:rsidTr="00CE1750">
        <w:tc>
          <w:tcPr>
            <w:tcW w:w="1842" w:type="dxa"/>
          </w:tcPr>
          <w:p w:rsidR="00CE1750" w:rsidRPr="00105672" w:rsidRDefault="00CE1750">
            <w:pPr>
              <w:jc w:val="both"/>
              <w:rPr>
                <w:b/>
                <w:sz w:val="22"/>
              </w:rPr>
            </w:pPr>
            <w:r w:rsidRPr="00105672">
              <w:rPr>
                <w:b/>
                <w:sz w:val="22"/>
              </w:rPr>
              <w:t xml:space="preserve">Demi-pension 5 jours </w:t>
            </w:r>
          </w:p>
          <w:p w:rsidR="00CE1750" w:rsidRDefault="00CE1750">
            <w:pPr>
              <w:jc w:val="both"/>
              <w:rPr>
                <w:sz w:val="22"/>
              </w:rPr>
            </w:pPr>
            <w:r>
              <w:rPr>
                <w:sz w:val="22"/>
              </w:rPr>
              <w:t>(L Ma Me J V)</w:t>
            </w:r>
          </w:p>
        </w:tc>
        <w:tc>
          <w:tcPr>
            <w:tcW w:w="1842" w:type="dxa"/>
            <w:vAlign w:val="center"/>
          </w:tcPr>
          <w:p w:rsidR="00CE1750" w:rsidRDefault="000E0278" w:rsidP="00CE1750">
            <w:pPr>
              <w:jc w:val="center"/>
              <w:rPr>
                <w:sz w:val="22"/>
              </w:rPr>
            </w:pPr>
            <w:r>
              <w:rPr>
                <w:sz w:val="22"/>
              </w:rPr>
              <w:t>151.74</w:t>
            </w:r>
            <w:r w:rsidR="00CE1750">
              <w:rPr>
                <w:sz w:val="22"/>
              </w:rPr>
              <w:t xml:space="preserve"> €</w:t>
            </w:r>
          </w:p>
        </w:tc>
        <w:tc>
          <w:tcPr>
            <w:tcW w:w="1842" w:type="dxa"/>
            <w:vAlign w:val="center"/>
          </w:tcPr>
          <w:p w:rsidR="00CE1750" w:rsidRDefault="000E0278" w:rsidP="00CE1750">
            <w:pPr>
              <w:jc w:val="center"/>
              <w:rPr>
                <w:sz w:val="22"/>
              </w:rPr>
            </w:pPr>
            <w:r>
              <w:rPr>
                <w:sz w:val="22"/>
              </w:rPr>
              <w:t>168.60</w:t>
            </w:r>
            <w:r w:rsidR="00CE1750">
              <w:rPr>
                <w:sz w:val="22"/>
              </w:rPr>
              <w:t xml:space="preserve"> €</w:t>
            </w:r>
          </w:p>
        </w:tc>
        <w:tc>
          <w:tcPr>
            <w:tcW w:w="1843" w:type="dxa"/>
            <w:vAlign w:val="center"/>
          </w:tcPr>
          <w:p w:rsidR="00CE1750" w:rsidRDefault="000E0278" w:rsidP="00CE1750">
            <w:pPr>
              <w:jc w:val="center"/>
              <w:rPr>
                <w:sz w:val="22"/>
              </w:rPr>
            </w:pPr>
            <w:r>
              <w:rPr>
                <w:sz w:val="22"/>
              </w:rPr>
              <w:t>185.46</w:t>
            </w:r>
            <w:r w:rsidR="00CE1750">
              <w:rPr>
                <w:sz w:val="22"/>
              </w:rPr>
              <w:t xml:space="preserve"> €</w:t>
            </w:r>
          </w:p>
        </w:tc>
        <w:tc>
          <w:tcPr>
            <w:tcW w:w="1843" w:type="dxa"/>
            <w:vAlign w:val="center"/>
          </w:tcPr>
          <w:p w:rsidR="00CE1750" w:rsidRDefault="00CE1750" w:rsidP="00CE1750">
            <w:pPr>
              <w:jc w:val="center"/>
              <w:rPr>
                <w:sz w:val="22"/>
              </w:rPr>
            </w:pPr>
            <w:r>
              <w:rPr>
                <w:sz w:val="22"/>
              </w:rPr>
              <w:t>505.80 €</w:t>
            </w:r>
          </w:p>
        </w:tc>
      </w:tr>
      <w:tr w:rsidR="004909E3">
        <w:tc>
          <w:tcPr>
            <w:tcW w:w="1842" w:type="dxa"/>
          </w:tcPr>
          <w:p w:rsidR="00105672" w:rsidRDefault="00105672">
            <w:pPr>
              <w:jc w:val="both"/>
              <w:rPr>
                <w:b/>
                <w:sz w:val="22"/>
              </w:rPr>
            </w:pPr>
          </w:p>
          <w:p w:rsidR="004909E3" w:rsidRDefault="004909E3">
            <w:pPr>
              <w:jc w:val="both"/>
              <w:rPr>
                <w:b/>
                <w:sz w:val="22"/>
              </w:rPr>
            </w:pPr>
            <w:r w:rsidRPr="00105672">
              <w:rPr>
                <w:b/>
                <w:sz w:val="22"/>
              </w:rPr>
              <w:t>Internat</w:t>
            </w:r>
          </w:p>
          <w:p w:rsidR="00105672" w:rsidRPr="00105672" w:rsidRDefault="00105672">
            <w:pPr>
              <w:jc w:val="both"/>
              <w:rPr>
                <w:b/>
                <w:sz w:val="22"/>
              </w:rPr>
            </w:pPr>
          </w:p>
        </w:tc>
        <w:tc>
          <w:tcPr>
            <w:tcW w:w="1842" w:type="dxa"/>
          </w:tcPr>
          <w:p w:rsidR="00105672" w:rsidRDefault="00105672" w:rsidP="00732DDC">
            <w:pPr>
              <w:jc w:val="center"/>
              <w:rPr>
                <w:sz w:val="22"/>
              </w:rPr>
            </w:pPr>
          </w:p>
          <w:p w:rsidR="004909E3" w:rsidRDefault="000E0278" w:rsidP="00732DDC">
            <w:pPr>
              <w:jc w:val="center"/>
              <w:rPr>
                <w:sz w:val="22"/>
              </w:rPr>
            </w:pPr>
            <w:r>
              <w:rPr>
                <w:sz w:val="22"/>
              </w:rPr>
              <w:t>402.30</w:t>
            </w:r>
            <w:r w:rsidR="00CE1750">
              <w:rPr>
                <w:sz w:val="22"/>
              </w:rPr>
              <w:t xml:space="preserve"> </w:t>
            </w:r>
            <w:r w:rsidR="004909E3">
              <w:rPr>
                <w:sz w:val="22"/>
              </w:rPr>
              <w:t>€</w:t>
            </w:r>
          </w:p>
        </w:tc>
        <w:tc>
          <w:tcPr>
            <w:tcW w:w="1842" w:type="dxa"/>
          </w:tcPr>
          <w:p w:rsidR="00105672" w:rsidRDefault="00105672" w:rsidP="00732DDC">
            <w:pPr>
              <w:jc w:val="center"/>
              <w:rPr>
                <w:sz w:val="22"/>
              </w:rPr>
            </w:pPr>
          </w:p>
          <w:p w:rsidR="004909E3" w:rsidRDefault="000E0278" w:rsidP="00732DDC">
            <w:pPr>
              <w:jc w:val="center"/>
              <w:rPr>
                <w:sz w:val="22"/>
              </w:rPr>
            </w:pPr>
            <w:r>
              <w:rPr>
                <w:sz w:val="22"/>
              </w:rPr>
              <w:t>446.64</w:t>
            </w:r>
            <w:r w:rsidR="00CE1750">
              <w:rPr>
                <w:sz w:val="22"/>
              </w:rPr>
              <w:t xml:space="preserve"> €</w:t>
            </w:r>
          </w:p>
        </w:tc>
        <w:tc>
          <w:tcPr>
            <w:tcW w:w="1843" w:type="dxa"/>
          </w:tcPr>
          <w:p w:rsidR="00105672" w:rsidRDefault="00105672" w:rsidP="00CE1750">
            <w:pPr>
              <w:jc w:val="center"/>
              <w:rPr>
                <w:sz w:val="22"/>
              </w:rPr>
            </w:pPr>
          </w:p>
          <w:p w:rsidR="004909E3" w:rsidRDefault="000E0278" w:rsidP="00CE1750">
            <w:pPr>
              <w:jc w:val="center"/>
              <w:rPr>
                <w:sz w:val="22"/>
              </w:rPr>
            </w:pPr>
            <w:r>
              <w:rPr>
                <w:sz w:val="22"/>
              </w:rPr>
              <w:t>491.70</w:t>
            </w:r>
            <w:r w:rsidR="00CE1750">
              <w:rPr>
                <w:sz w:val="22"/>
              </w:rPr>
              <w:t xml:space="preserve"> €</w:t>
            </w:r>
          </w:p>
        </w:tc>
        <w:tc>
          <w:tcPr>
            <w:tcW w:w="1843" w:type="dxa"/>
          </w:tcPr>
          <w:p w:rsidR="00105672" w:rsidRDefault="00105672" w:rsidP="006053B2">
            <w:pPr>
              <w:jc w:val="center"/>
              <w:rPr>
                <w:sz w:val="22"/>
              </w:rPr>
            </w:pPr>
          </w:p>
          <w:p w:rsidR="004909E3" w:rsidRDefault="00CE1750" w:rsidP="006053B2">
            <w:pPr>
              <w:jc w:val="center"/>
              <w:rPr>
                <w:sz w:val="22"/>
              </w:rPr>
            </w:pPr>
            <w:r>
              <w:rPr>
                <w:sz w:val="22"/>
              </w:rPr>
              <w:t xml:space="preserve">1340.64 </w:t>
            </w:r>
            <w:r w:rsidR="004909E3">
              <w:rPr>
                <w:sz w:val="22"/>
              </w:rPr>
              <w:t>€</w:t>
            </w:r>
          </w:p>
        </w:tc>
      </w:tr>
    </w:tbl>
    <w:p w:rsidR="004909E3" w:rsidRDefault="004909E3">
      <w:pPr>
        <w:ind w:left="708"/>
        <w:jc w:val="both"/>
        <w:rPr>
          <w:sz w:val="22"/>
        </w:rPr>
      </w:pPr>
    </w:p>
    <w:p w:rsidR="00FD13D5" w:rsidRDefault="00FD13D5">
      <w:pPr>
        <w:ind w:left="708"/>
        <w:jc w:val="both"/>
        <w:rPr>
          <w:sz w:val="22"/>
        </w:rPr>
      </w:pPr>
    </w:p>
    <w:p w:rsidR="004909E3" w:rsidRPr="00976B02" w:rsidRDefault="004909E3">
      <w:pPr>
        <w:pStyle w:val="Titre2"/>
        <w:jc w:val="both"/>
        <w:rPr>
          <w:sz w:val="24"/>
        </w:rPr>
      </w:pPr>
      <w:r w:rsidRPr="00976B02">
        <w:rPr>
          <w:sz w:val="24"/>
        </w:rPr>
        <w:t>Modalités de paiement</w:t>
      </w:r>
    </w:p>
    <w:p w:rsidR="004909E3" w:rsidRDefault="004909E3">
      <w:pPr>
        <w:ind w:left="360"/>
        <w:jc w:val="both"/>
        <w:rPr>
          <w:sz w:val="22"/>
        </w:rPr>
      </w:pPr>
    </w:p>
    <w:p w:rsidR="004909E3" w:rsidRDefault="004909E3" w:rsidP="000E0278">
      <w:pPr>
        <w:ind w:left="360"/>
        <w:jc w:val="both"/>
        <w:rPr>
          <w:sz w:val="22"/>
        </w:rPr>
      </w:pPr>
      <w:r>
        <w:rPr>
          <w:sz w:val="22"/>
        </w:rPr>
        <w:sym w:font="Wingdings" w:char="F0D6"/>
      </w:r>
      <w:r>
        <w:rPr>
          <w:sz w:val="22"/>
        </w:rPr>
        <w:t xml:space="preserve"> Un échéancier de paiement est possible, </w:t>
      </w:r>
      <w:r>
        <w:rPr>
          <w:b/>
          <w:bCs/>
          <w:i/>
          <w:iCs/>
          <w:sz w:val="22"/>
        </w:rPr>
        <w:t>à la demande des familles</w:t>
      </w:r>
      <w:r>
        <w:rPr>
          <w:i/>
          <w:iCs/>
          <w:sz w:val="22"/>
        </w:rPr>
        <w:t xml:space="preserve"> </w:t>
      </w:r>
      <w:r>
        <w:rPr>
          <w:sz w:val="22"/>
        </w:rPr>
        <w:t xml:space="preserve">et à établir avec </w:t>
      </w:r>
      <w:r w:rsidR="000E0278">
        <w:rPr>
          <w:sz w:val="22"/>
        </w:rPr>
        <w:t>le secrétariat d’intendance</w:t>
      </w:r>
      <w:r>
        <w:rPr>
          <w:sz w:val="22"/>
        </w:rPr>
        <w:t xml:space="preserve"> dès la rentrée scolaire ou à tout moment de l’année en cas de difficulté financière de la</w:t>
      </w:r>
      <w:r w:rsidR="000E0278">
        <w:rPr>
          <w:sz w:val="22"/>
        </w:rPr>
        <w:t xml:space="preserve"> </w:t>
      </w:r>
      <w:r>
        <w:rPr>
          <w:sz w:val="22"/>
        </w:rPr>
        <w:t>famille.</w:t>
      </w:r>
    </w:p>
    <w:p w:rsidR="004909E3" w:rsidRDefault="004909E3">
      <w:pPr>
        <w:ind w:left="360"/>
        <w:jc w:val="both"/>
        <w:rPr>
          <w:sz w:val="22"/>
        </w:rPr>
      </w:pPr>
    </w:p>
    <w:p w:rsidR="004909E3" w:rsidRDefault="004909E3">
      <w:pPr>
        <w:ind w:left="360"/>
        <w:jc w:val="both"/>
        <w:rPr>
          <w:sz w:val="22"/>
        </w:rPr>
      </w:pPr>
      <w:r>
        <w:rPr>
          <w:sz w:val="22"/>
        </w:rPr>
        <w:sym w:font="Wingdings" w:char="F0D6"/>
      </w:r>
      <w:r>
        <w:rPr>
          <w:sz w:val="22"/>
        </w:rPr>
        <w:t xml:space="preserve"> Divers moyens de règlement sont proposés : chèque, caisse ou virement </w:t>
      </w:r>
      <w:r w:rsidR="00105672">
        <w:rPr>
          <w:sz w:val="22"/>
        </w:rPr>
        <w:t>bancaire</w:t>
      </w:r>
      <w:r>
        <w:rPr>
          <w:sz w:val="22"/>
        </w:rPr>
        <w:t xml:space="preserve"> sur le compte du lycée</w:t>
      </w:r>
      <w:r w:rsidR="00105672">
        <w:rPr>
          <w:sz w:val="22"/>
        </w:rPr>
        <w:t xml:space="preserve"> (demander un RIB au service Intendance)</w:t>
      </w:r>
      <w:r>
        <w:rPr>
          <w:sz w:val="22"/>
        </w:rPr>
        <w:t>.</w:t>
      </w:r>
    </w:p>
    <w:p w:rsidR="004909E3" w:rsidRDefault="004909E3">
      <w:pPr>
        <w:ind w:left="360"/>
        <w:jc w:val="both"/>
        <w:rPr>
          <w:sz w:val="22"/>
        </w:rPr>
      </w:pPr>
    </w:p>
    <w:p w:rsidR="004909E3" w:rsidRDefault="004909E3">
      <w:pPr>
        <w:ind w:left="360"/>
        <w:jc w:val="both"/>
        <w:rPr>
          <w:i/>
          <w:iCs/>
          <w:sz w:val="20"/>
        </w:rPr>
      </w:pPr>
      <w:r>
        <w:rPr>
          <w:sz w:val="22"/>
        </w:rPr>
        <w:tab/>
      </w:r>
    </w:p>
    <w:p w:rsidR="00AF22BB" w:rsidRPr="00FD13D5" w:rsidRDefault="00AF22BB" w:rsidP="00FD13D5">
      <w:pPr>
        <w:pStyle w:val="Titre1"/>
        <w:jc w:val="left"/>
        <w:rPr>
          <w:u w:val="single"/>
        </w:rPr>
      </w:pPr>
      <w:r w:rsidRPr="00FD13D5">
        <w:rPr>
          <w:u w:val="single"/>
        </w:rPr>
        <w:t>III. Remboursement aux familles</w:t>
      </w:r>
    </w:p>
    <w:p w:rsidR="00AF22BB" w:rsidRDefault="00AF22BB" w:rsidP="00AF22BB">
      <w:pPr>
        <w:jc w:val="both"/>
        <w:rPr>
          <w:b/>
          <w:bCs/>
          <w:u w:val="single"/>
        </w:rPr>
      </w:pPr>
    </w:p>
    <w:p w:rsidR="00AF22BB" w:rsidRDefault="00AF22BB" w:rsidP="00AF22BB">
      <w:pPr>
        <w:numPr>
          <w:ilvl w:val="0"/>
          <w:numId w:val="3"/>
        </w:numPr>
        <w:jc w:val="both"/>
        <w:rPr>
          <w:i/>
          <w:iCs/>
          <w:sz w:val="22"/>
        </w:rPr>
      </w:pPr>
      <w:r>
        <w:rPr>
          <w:i/>
          <w:iCs/>
          <w:sz w:val="22"/>
        </w:rPr>
        <w:t>Le remboursement aux familles est prévu dans les cas cités ci-après :</w:t>
      </w:r>
    </w:p>
    <w:p w:rsidR="00AF22BB" w:rsidRDefault="00AF22BB" w:rsidP="00AF22BB">
      <w:pPr>
        <w:ind w:left="1080"/>
        <w:jc w:val="both"/>
        <w:rPr>
          <w:sz w:val="22"/>
        </w:rPr>
      </w:pPr>
      <w:r>
        <w:rPr>
          <w:sz w:val="22"/>
        </w:rPr>
        <w:sym w:font="Wingdings" w:char="F0D6"/>
      </w:r>
      <w:r>
        <w:rPr>
          <w:sz w:val="22"/>
        </w:rPr>
        <w:t xml:space="preserve"> Fermeture de l’établissement.</w:t>
      </w:r>
    </w:p>
    <w:p w:rsidR="00AF22BB" w:rsidRDefault="00AF22BB" w:rsidP="00AF22BB">
      <w:pPr>
        <w:ind w:left="1080"/>
        <w:jc w:val="both"/>
        <w:rPr>
          <w:sz w:val="22"/>
        </w:rPr>
      </w:pPr>
      <w:r>
        <w:rPr>
          <w:sz w:val="22"/>
        </w:rPr>
        <w:sym w:font="Wingdings" w:char="F0D6"/>
      </w:r>
      <w:r>
        <w:rPr>
          <w:sz w:val="22"/>
        </w:rPr>
        <w:t xml:space="preserve"> Lorsque le service d’hébergement n’est pas assuré.</w:t>
      </w:r>
    </w:p>
    <w:p w:rsidR="00AF22BB" w:rsidRDefault="00AF22BB" w:rsidP="00AF22BB">
      <w:pPr>
        <w:ind w:left="1080"/>
        <w:jc w:val="both"/>
        <w:rPr>
          <w:sz w:val="22"/>
        </w:rPr>
      </w:pPr>
      <w:r>
        <w:rPr>
          <w:sz w:val="22"/>
        </w:rPr>
        <w:sym w:font="Wingdings" w:char="F0D6"/>
      </w:r>
      <w:r>
        <w:rPr>
          <w:sz w:val="22"/>
        </w:rPr>
        <w:t xml:space="preserve"> Périodes de stage en entreprise.</w:t>
      </w:r>
    </w:p>
    <w:p w:rsidR="00AF22BB" w:rsidRDefault="00AF22BB" w:rsidP="00AF22BB">
      <w:pPr>
        <w:ind w:left="1080"/>
        <w:jc w:val="both"/>
        <w:rPr>
          <w:sz w:val="22"/>
        </w:rPr>
      </w:pPr>
      <w:r>
        <w:rPr>
          <w:sz w:val="22"/>
        </w:rPr>
        <w:sym w:font="Wingdings" w:char="F0D6"/>
      </w:r>
      <w:r>
        <w:rPr>
          <w:sz w:val="22"/>
        </w:rPr>
        <w:t xml:space="preserve"> Maladie pour une durée </w:t>
      </w:r>
      <w:r w:rsidR="00010C88">
        <w:rPr>
          <w:sz w:val="22"/>
        </w:rPr>
        <w:t xml:space="preserve">minimum </w:t>
      </w:r>
      <w:r>
        <w:rPr>
          <w:sz w:val="22"/>
        </w:rPr>
        <w:t>de 15 jours</w:t>
      </w:r>
      <w:r w:rsidR="00010C88">
        <w:rPr>
          <w:sz w:val="22"/>
        </w:rPr>
        <w:t xml:space="preserve"> consécutifs</w:t>
      </w:r>
      <w:r>
        <w:rPr>
          <w:sz w:val="22"/>
        </w:rPr>
        <w:t xml:space="preserve"> et sur présentation d’un certificat médical.</w:t>
      </w:r>
    </w:p>
    <w:p w:rsidR="00AF22BB" w:rsidRDefault="00AF22BB" w:rsidP="00AF22BB">
      <w:pPr>
        <w:ind w:left="1080"/>
        <w:jc w:val="both"/>
        <w:rPr>
          <w:sz w:val="22"/>
        </w:rPr>
      </w:pPr>
      <w:r>
        <w:rPr>
          <w:sz w:val="22"/>
        </w:rPr>
        <w:sym w:font="Wingdings" w:char="F0D6"/>
      </w:r>
      <w:r>
        <w:rPr>
          <w:sz w:val="22"/>
        </w:rPr>
        <w:t xml:space="preserve"> Exclusion définitive de l’élève.</w:t>
      </w:r>
    </w:p>
    <w:p w:rsidR="00AF22BB" w:rsidRDefault="00AF22BB" w:rsidP="00AF22BB">
      <w:pPr>
        <w:ind w:left="1080"/>
        <w:jc w:val="both"/>
        <w:rPr>
          <w:sz w:val="22"/>
        </w:rPr>
      </w:pPr>
      <w:r>
        <w:rPr>
          <w:sz w:val="22"/>
        </w:rPr>
        <w:sym w:font="Wingdings" w:char="F0D6"/>
      </w:r>
      <w:r>
        <w:rPr>
          <w:sz w:val="22"/>
        </w:rPr>
        <w:t xml:space="preserve"> Démission de l’élève.</w:t>
      </w:r>
    </w:p>
    <w:p w:rsidR="00AF22BB" w:rsidRDefault="00AF22BB" w:rsidP="00AF22BB">
      <w:pPr>
        <w:ind w:left="1080"/>
        <w:jc w:val="both"/>
        <w:rPr>
          <w:sz w:val="22"/>
        </w:rPr>
      </w:pPr>
      <w:r>
        <w:rPr>
          <w:sz w:val="22"/>
        </w:rPr>
        <w:sym w:font="Wingdings" w:char="F0D6"/>
      </w:r>
      <w:r>
        <w:rPr>
          <w:sz w:val="22"/>
        </w:rPr>
        <w:t xml:space="preserve"> Décès de l’élève.</w:t>
      </w:r>
    </w:p>
    <w:p w:rsidR="00AF22BB" w:rsidRDefault="00AF22BB" w:rsidP="00AF22BB">
      <w:pPr>
        <w:ind w:left="1080"/>
        <w:jc w:val="both"/>
        <w:rPr>
          <w:sz w:val="22"/>
        </w:rPr>
      </w:pPr>
      <w:r>
        <w:rPr>
          <w:sz w:val="22"/>
        </w:rPr>
        <w:sym w:font="Wingdings" w:char="F0D6"/>
      </w:r>
      <w:r>
        <w:rPr>
          <w:sz w:val="22"/>
        </w:rPr>
        <w:t xml:space="preserve"> Voyages scolaires (lorsque le lycée ne prend pas en charge la restauration ou l’hébergement durant tout ou partie du voyage).</w:t>
      </w:r>
    </w:p>
    <w:p w:rsidR="00634001" w:rsidRDefault="00AF22BB" w:rsidP="00634001">
      <w:pPr>
        <w:ind w:left="1080"/>
        <w:jc w:val="both"/>
        <w:rPr>
          <w:sz w:val="22"/>
        </w:rPr>
      </w:pPr>
      <w:r>
        <w:rPr>
          <w:sz w:val="22"/>
        </w:rPr>
        <w:sym w:font="Wingdings" w:char="F0D6"/>
      </w:r>
      <w:r>
        <w:rPr>
          <w:sz w:val="22"/>
        </w:rPr>
        <w:t xml:space="preserve"> Il est rappelé que les absences à la fin de l’année scolaire liées aux examens ne peuvent</w:t>
      </w:r>
      <w:r w:rsidR="00634001" w:rsidRPr="00634001">
        <w:rPr>
          <w:sz w:val="22"/>
        </w:rPr>
        <w:t xml:space="preserve"> </w:t>
      </w:r>
      <w:r w:rsidR="00634001">
        <w:rPr>
          <w:sz w:val="22"/>
        </w:rPr>
        <w:t>donner lieu à remboursement, l’établissement fonctionnant pendant cette période.</w:t>
      </w:r>
    </w:p>
    <w:p w:rsidR="00634001" w:rsidRDefault="00634001" w:rsidP="00634001">
      <w:pPr>
        <w:ind w:left="708"/>
        <w:jc w:val="both"/>
        <w:rPr>
          <w:sz w:val="22"/>
        </w:rPr>
      </w:pPr>
      <w:r>
        <w:rPr>
          <w:sz w:val="22"/>
        </w:rPr>
        <w:lastRenderedPageBreak/>
        <w:t xml:space="preserve">       </w:t>
      </w:r>
    </w:p>
    <w:p w:rsidR="00AF22BB" w:rsidRDefault="00AF22BB" w:rsidP="00AF22BB">
      <w:pPr>
        <w:ind w:left="1080"/>
        <w:jc w:val="both"/>
        <w:rPr>
          <w:sz w:val="22"/>
        </w:rPr>
      </w:pPr>
    </w:p>
    <w:p w:rsidR="00AF22BB" w:rsidRDefault="00AF22BB" w:rsidP="00AF22BB">
      <w:pPr>
        <w:pStyle w:val="Retraitcorpsdetexte"/>
        <w:ind w:left="0"/>
      </w:pPr>
    </w:p>
    <w:p w:rsidR="00AF22BB" w:rsidRPr="005B67D4" w:rsidRDefault="00AF22BB" w:rsidP="00AF22BB">
      <w:pPr>
        <w:pStyle w:val="Retraitcorpsdetexte"/>
        <w:ind w:left="0"/>
        <w:rPr>
          <w:b/>
          <w:sz w:val="24"/>
          <w:u w:val="single"/>
        </w:rPr>
      </w:pPr>
      <w:r w:rsidRPr="005B67D4">
        <w:rPr>
          <w:b/>
          <w:sz w:val="24"/>
          <w:u w:val="single"/>
        </w:rPr>
        <w:t>IV. Les Bourses Nationales</w:t>
      </w:r>
    </w:p>
    <w:p w:rsidR="00AF22BB" w:rsidRDefault="00AF22BB" w:rsidP="00AF22BB">
      <w:pPr>
        <w:pStyle w:val="Retraitcorpsdetexte"/>
        <w:ind w:left="0"/>
        <w:rPr>
          <w:b/>
          <w:bCs/>
          <w:u w:val="single"/>
        </w:rPr>
      </w:pPr>
    </w:p>
    <w:p w:rsidR="00AF22BB" w:rsidRDefault="00AF22BB" w:rsidP="00AF22BB">
      <w:pPr>
        <w:pStyle w:val="Retraitcorpsdetexte"/>
        <w:ind w:left="0"/>
        <w:rPr>
          <w:bCs/>
        </w:rPr>
      </w:pPr>
      <w:r>
        <w:rPr>
          <w:bCs/>
        </w:rPr>
        <w:t xml:space="preserve">Des bourses peuvent être attribuées aux élèves par les services de </w:t>
      </w:r>
      <w:r w:rsidR="000E0278">
        <w:rPr>
          <w:bCs/>
        </w:rPr>
        <w:t>Direction des Services Départementaux de l’Education Nationale</w:t>
      </w:r>
      <w:r>
        <w:rPr>
          <w:bCs/>
        </w:rPr>
        <w:t xml:space="preserve">, s’ils remplissent certaines conditions. La campagne </w:t>
      </w:r>
      <w:r w:rsidR="007856A5">
        <w:rPr>
          <w:bCs/>
        </w:rPr>
        <w:t xml:space="preserve">pour une première demande </w:t>
      </w:r>
      <w:r>
        <w:rPr>
          <w:bCs/>
        </w:rPr>
        <w:t>des bourses (demandes et dossiers à compléter) se fait en principe en début de chaque année civile (</w:t>
      </w:r>
      <w:r w:rsidR="000E0278">
        <w:rPr>
          <w:bCs/>
        </w:rPr>
        <w:t>mars/</w:t>
      </w:r>
      <w:r w:rsidR="00010C88">
        <w:rPr>
          <w:bCs/>
        </w:rPr>
        <w:t>avril</w:t>
      </w:r>
      <w:r>
        <w:rPr>
          <w:bCs/>
        </w:rPr>
        <w:t>). Si toutefois la famille n’a pas eu l’occasion de remplir un dossier au moment voulu, ou connaît un changement de situation depuis, il est possible de faire une demande exceptionnelle en septembre.</w:t>
      </w:r>
    </w:p>
    <w:p w:rsidR="007856A5" w:rsidRDefault="007856A5" w:rsidP="00AF22BB">
      <w:pPr>
        <w:pStyle w:val="Retraitcorpsdetexte"/>
        <w:ind w:left="0"/>
        <w:rPr>
          <w:b/>
          <w:bCs/>
          <w:u w:val="single"/>
        </w:rPr>
      </w:pPr>
      <w:r>
        <w:rPr>
          <w:bCs/>
        </w:rPr>
        <w:t>Pour les demandes de renouvellement d’attribution des bourses, les demandes se font à la rentrée scolaire.</w:t>
      </w:r>
    </w:p>
    <w:p w:rsidR="00AF22BB" w:rsidRDefault="00AF22BB" w:rsidP="00AF22BB">
      <w:pPr>
        <w:pStyle w:val="Retraitcorpsdetexte"/>
        <w:ind w:left="0"/>
        <w:rPr>
          <w:b/>
          <w:bCs/>
          <w:u w:val="single"/>
        </w:rPr>
      </w:pPr>
    </w:p>
    <w:p w:rsidR="00A1469C" w:rsidRDefault="00A1469C" w:rsidP="00AF22BB">
      <w:pPr>
        <w:pStyle w:val="Retraitcorpsdetexte"/>
        <w:ind w:left="0"/>
        <w:rPr>
          <w:bCs/>
        </w:rPr>
      </w:pPr>
      <w:r w:rsidRPr="00A1469C">
        <w:rPr>
          <w:bCs/>
        </w:rPr>
        <w:t>Les bourses sont dédu</w:t>
      </w:r>
      <w:r>
        <w:rPr>
          <w:bCs/>
        </w:rPr>
        <w:t>ites chaque trimestre du montant des frais scolaires. L’excédent est reversé aux familles quand le montant des bourses est supérieur aux frais scolaires.</w:t>
      </w:r>
    </w:p>
    <w:p w:rsidR="00A1469C" w:rsidRDefault="00A1469C" w:rsidP="00AF22BB">
      <w:pPr>
        <w:pStyle w:val="Retraitcorpsdetexte"/>
        <w:ind w:left="0"/>
        <w:rPr>
          <w:bCs/>
        </w:rPr>
      </w:pPr>
    </w:p>
    <w:p w:rsidR="00A1469C" w:rsidRPr="00C03765" w:rsidRDefault="00A1469C" w:rsidP="00AF22BB">
      <w:pPr>
        <w:pStyle w:val="Retraitcorpsdetexte"/>
        <w:ind w:left="0"/>
        <w:rPr>
          <w:b/>
          <w:bCs/>
          <w:sz w:val="24"/>
          <w:u w:val="single"/>
        </w:rPr>
      </w:pPr>
      <w:r w:rsidRPr="00C03765">
        <w:rPr>
          <w:b/>
          <w:bCs/>
          <w:sz w:val="24"/>
          <w:u w:val="single"/>
        </w:rPr>
        <w:t>V. Aide Régionale à la restauration</w:t>
      </w:r>
    </w:p>
    <w:p w:rsidR="00AF22BB" w:rsidRDefault="00AF22BB" w:rsidP="00AF22BB">
      <w:pPr>
        <w:pStyle w:val="Retraitcorpsdetexte"/>
        <w:ind w:left="0"/>
        <w:rPr>
          <w:b/>
          <w:u w:val="single"/>
        </w:rPr>
      </w:pPr>
    </w:p>
    <w:p w:rsidR="00AF22BB" w:rsidRDefault="00A1469C" w:rsidP="00AF22BB">
      <w:pPr>
        <w:pStyle w:val="Retraitcorpsdetexte"/>
        <w:ind w:left="0"/>
      </w:pPr>
      <w:r>
        <w:t xml:space="preserve">Elle </w:t>
      </w:r>
      <w:r w:rsidR="0092182B">
        <w:t>est allouée automatiquement et sous conditions de ressources de la famille</w:t>
      </w:r>
      <w:r w:rsidR="00105672">
        <w:t>. Elle</w:t>
      </w:r>
      <w:r w:rsidR="0092182B">
        <w:t xml:space="preserve"> s’adresse aux élèves dont les familles </w:t>
      </w:r>
      <w:r w:rsidR="00C03765">
        <w:t xml:space="preserve">sont </w:t>
      </w:r>
      <w:r w:rsidR="0092182B">
        <w:t>éligibles à l’Allo</w:t>
      </w:r>
      <w:r w:rsidR="00105672">
        <w:t>cation de Rentrée Scolaire (ARS – fournir la notification d’attribution de la CAF).</w:t>
      </w:r>
    </w:p>
    <w:p w:rsidR="0092182B" w:rsidRDefault="0092182B" w:rsidP="00AF22BB">
      <w:pPr>
        <w:pStyle w:val="Retraitcorpsdetexte"/>
        <w:ind w:left="0"/>
      </w:pPr>
    </w:p>
    <w:p w:rsidR="00C03765" w:rsidRPr="00C03765" w:rsidRDefault="00C03765" w:rsidP="00AF22BB">
      <w:pPr>
        <w:pStyle w:val="Retraitcorpsdetexte"/>
        <w:ind w:left="0"/>
        <w:rPr>
          <w:b/>
          <w:sz w:val="24"/>
          <w:u w:val="single"/>
        </w:rPr>
      </w:pPr>
      <w:r w:rsidRPr="00C03765">
        <w:rPr>
          <w:b/>
          <w:sz w:val="24"/>
          <w:u w:val="single"/>
        </w:rPr>
        <w:t>VI. Fonds Social</w:t>
      </w:r>
    </w:p>
    <w:p w:rsidR="00AF22BB" w:rsidRDefault="00AF22BB" w:rsidP="00AF22BB">
      <w:pPr>
        <w:pStyle w:val="Retraitcorpsdetexte"/>
        <w:ind w:left="0"/>
        <w:rPr>
          <w:b/>
          <w:bCs/>
          <w:u w:val="single"/>
        </w:rPr>
      </w:pPr>
    </w:p>
    <w:p w:rsidR="004909E3" w:rsidRDefault="00C03765" w:rsidP="00C03765">
      <w:pPr>
        <w:jc w:val="both"/>
        <w:rPr>
          <w:bCs/>
          <w:iCs/>
          <w:sz w:val="22"/>
          <w:szCs w:val="22"/>
        </w:rPr>
      </w:pPr>
      <w:r w:rsidRPr="00C03765">
        <w:rPr>
          <w:bCs/>
          <w:iCs/>
          <w:sz w:val="22"/>
          <w:szCs w:val="22"/>
        </w:rPr>
        <w:t>En cas de difficulté</w:t>
      </w:r>
      <w:r>
        <w:rPr>
          <w:bCs/>
          <w:iCs/>
          <w:sz w:val="22"/>
          <w:szCs w:val="22"/>
        </w:rPr>
        <w:t>s financières,  les familles peuvent déposer auprès du service intendance du Lycée une demande d’aide des fonds sociaux.</w:t>
      </w:r>
    </w:p>
    <w:p w:rsidR="00C03765" w:rsidRDefault="00C03765" w:rsidP="00C03765">
      <w:pPr>
        <w:jc w:val="both"/>
        <w:rPr>
          <w:bCs/>
          <w:iCs/>
          <w:sz w:val="22"/>
          <w:szCs w:val="22"/>
        </w:rPr>
      </w:pPr>
      <w:r>
        <w:rPr>
          <w:bCs/>
          <w:iCs/>
          <w:sz w:val="22"/>
          <w:szCs w:val="22"/>
        </w:rPr>
        <w:t>Les demandes seront examinées par la Commission des Fonds Sociaux, qui décidera selon les cas d’attribuer des aides.</w:t>
      </w:r>
    </w:p>
    <w:p w:rsidR="00C03765" w:rsidRDefault="00C03765" w:rsidP="00C03765">
      <w:pPr>
        <w:jc w:val="both"/>
        <w:rPr>
          <w:bCs/>
          <w:iCs/>
          <w:sz w:val="22"/>
          <w:szCs w:val="22"/>
        </w:rPr>
      </w:pPr>
      <w:r>
        <w:rPr>
          <w:bCs/>
          <w:iCs/>
          <w:sz w:val="22"/>
          <w:szCs w:val="22"/>
        </w:rPr>
        <w:t>Toute mesure d’aide d’urgence peut être prise par le Chef d’Etablissement.</w:t>
      </w:r>
    </w:p>
    <w:p w:rsidR="00C03765" w:rsidRDefault="00C03765" w:rsidP="00C03765">
      <w:pPr>
        <w:jc w:val="both"/>
        <w:rPr>
          <w:bCs/>
          <w:iCs/>
          <w:sz w:val="22"/>
          <w:szCs w:val="22"/>
        </w:rPr>
      </w:pPr>
    </w:p>
    <w:p w:rsidR="00C03765" w:rsidRDefault="00C03765" w:rsidP="00C03765">
      <w:pPr>
        <w:jc w:val="both"/>
        <w:rPr>
          <w:b/>
          <w:bCs/>
          <w:iCs/>
          <w:u w:val="single"/>
        </w:rPr>
      </w:pPr>
      <w:r w:rsidRPr="00C03765">
        <w:rPr>
          <w:b/>
          <w:bCs/>
          <w:iCs/>
          <w:u w:val="single"/>
        </w:rPr>
        <w:t xml:space="preserve">VII. Fonctionnement du </w:t>
      </w:r>
      <w:r w:rsidR="006C5ED4">
        <w:rPr>
          <w:b/>
          <w:bCs/>
          <w:iCs/>
          <w:u w:val="single"/>
        </w:rPr>
        <w:t>SRH</w:t>
      </w:r>
    </w:p>
    <w:p w:rsidR="00C03765" w:rsidRDefault="00C03765" w:rsidP="00C03765">
      <w:pPr>
        <w:jc w:val="both"/>
        <w:rPr>
          <w:b/>
          <w:bCs/>
          <w:iCs/>
          <w:u w:val="single"/>
        </w:rPr>
      </w:pPr>
    </w:p>
    <w:p w:rsidR="00C03765" w:rsidRPr="000E0278" w:rsidRDefault="00C03765" w:rsidP="00C03765">
      <w:pPr>
        <w:jc w:val="both"/>
        <w:rPr>
          <w:b/>
          <w:bCs/>
          <w:iCs/>
        </w:rPr>
      </w:pPr>
      <w:r>
        <w:rPr>
          <w:bCs/>
          <w:iCs/>
        </w:rPr>
        <w:t>A la rent</w:t>
      </w:r>
      <w:r w:rsidR="00634001">
        <w:rPr>
          <w:bCs/>
          <w:iCs/>
        </w:rPr>
        <w:t>r</w:t>
      </w:r>
      <w:r>
        <w:rPr>
          <w:bCs/>
          <w:iCs/>
        </w:rPr>
        <w:t>ée, une carte magnétique d’accès au self</w:t>
      </w:r>
      <w:r w:rsidR="00105672">
        <w:rPr>
          <w:bCs/>
          <w:iCs/>
        </w:rPr>
        <w:t>,</w:t>
      </w:r>
      <w:r>
        <w:rPr>
          <w:bCs/>
          <w:iCs/>
        </w:rPr>
        <w:t xml:space="preserve"> protégé</w:t>
      </w:r>
      <w:r w:rsidR="00105672">
        <w:rPr>
          <w:bCs/>
          <w:iCs/>
        </w:rPr>
        <w:t>e</w:t>
      </w:r>
      <w:r>
        <w:rPr>
          <w:bCs/>
          <w:iCs/>
        </w:rPr>
        <w:t xml:space="preserve"> par un étui</w:t>
      </w:r>
      <w:r w:rsidR="00105672">
        <w:rPr>
          <w:bCs/>
          <w:iCs/>
        </w:rPr>
        <w:t>,</w:t>
      </w:r>
      <w:r>
        <w:rPr>
          <w:bCs/>
          <w:iCs/>
        </w:rPr>
        <w:t xml:space="preserve"> est remise à chaque élève, à charge pour lui de la présenter systématiquement à chaque repas qu’il prendra au réfectoire.</w:t>
      </w:r>
      <w:r w:rsidR="00F9053A">
        <w:rPr>
          <w:bCs/>
          <w:iCs/>
        </w:rPr>
        <w:t xml:space="preserve"> </w:t>
      </w:r>
      <w:r w:rsidR="000E0278">
        <w:rPr>
          <w:bCs/>
          <w:iCs/>
        </w:rPr>
        <w:t xml:space="preserve">Toute perte ou </w:t>
      </w:r>
      <w:r>
        <w:rPr>
          <w:bCs/>
          <w:iCs/>
        </w:rPr>
        <w:t>dégradation de cette carte sera facturée à la famille 11 €, et tout oubli sera sanctionné par la vie scolaire.</w:t>
      </w:r>
      <w:r w:rsidR="00F9053A">
        <w:rPr>
          <w:bCs/>
          <w:iCs/>
        </w:rPr>
        <w:t xml:space="preserve"> </w:t>
      </w:r>
      <w:r w:rsidR="00F9053A" w:rsidRPr="000E0278">
        <w:rPr>
          <w:b/>
          <w:bCs/>
          <w:iCs/>
        </w:rPr>
        <w:t xml:space="preserve">La carte doit être restituée </w:t>
      </w:r>
      <w:r w:rsidR="000E0278" w:rsidRPr="000E0278">
        <w:rPr>
          <w:b/>
          <w:bCs/>
          <w:iCs/>
        </w:rPr>
        <w:t xml:space="preserve">obligatoirement </w:t>
      </w:r>
      <w:r w:rsidR="00F9053A" w:rsidRPr="000E0278">
        <w:rPr>
          <w:b/>
          <w:bCs/>
          <w:iCs/>
        </w:rPr>
        <w:t>en fin d’année scolaire</w:t>
      </w:r>
      <w:r w:rsidR="000E0278">
        <w:rPr>
          <w:b/>
          <w:bCs/>
          <w:iCs/>
        </w:rPr>
        <w:t xml:space="preserve"> (sinon elle sera facturée)</w:t>
      </w:r>
      <w:r w:rsidR="00F9053A" w:rsidRPr="000E0278">
        <w:rPr>
          <w:b/>
          <w:bCs/>
          <w:iCs/>
        </w:rPr>
        <w:t>.</w:t>
      </w:r>
    </w:p>
    <w:p w:rsidR="00C03765" w:rsidRDefault="00C03765" w:rsidP="00C03765">
      <w:pPr>
        <w:jc w:val="both"/>
        <w:rPr>
          <w:bCs/>
          <w:iCs/>
        </w:rPr>
      </w:pPr>
    </w:p>
    <w:p w:rsidR="00C03765" w:rsidRDefault="00877C4C" w:rsidP="00C03765">
      <w:pPr>
        <w:jc w:val="both"/>
        <w:rPr>
          <w:b/>
          <w:bCs/>
          <w:iCs/>
        </w:rPr>
      </w:pPr>
      <w:r>
        <w:rPr>
          <w:bCs/>
          <w:iCs/>
        </w:rPr>
        <w:tab/>
      </w:r>
      <w:r>
        <w:rPr>
          <w:bCs/>
          <w:iCs/>
        </w:rPr>
        <w:tab/>
      </w:r>
      <w:r>
        <w:rPr>
          <w:bCs/>
          <w:iCs/>
        </w:rPr>
        <w:tab/>
      </w:r>
      <w:r w:rsidR="00634001">
        <w:rPr>
          <w:bCs/>
          <w:iCs/>
        </w:rPr>
        <w:tab/>
      </w:r>
      <w:r w:rsidR="00634001">
        <w:rPr>
          <w:bCs/>
          <w:iCs/>
        </w:rPr>
        <w:tab/>
      </w:r>
      <w:r w:rsidR="00634001">
        <w:rPr>
          <w:bCs/>
          <w:iCs/>
        </w:rPr>
        <w:tab/>
      </w:r>
      <w:r>
        <w:rPr>
          <w:bCs/>
          <w:iCs/>
        </w:rPr>
        <w:t xml:space="preserve">             </w:t>
      </w:r>
      <w:r>
        <w:rPr>
          <w:bCs/>
          <w:iCs/>
        </w:rPr>
        <w:tab/>
        <w:t xml:space="preserve">          </w:t>
      </w:r>
    </w:p>
    <w:p w:rsidR="00B814F6" w:rsidRPr="00C03765" w:rsidRDefault="00B814F6" w:rsidP="00105672">
      <w:pPr>
        <w:rPr>
          <w:b/>
          <w:bCs/>
          <w:iCs/>
        </w:rPr>
      </w:pPr>
    </w:p>
    <w:sectPr w:rsidR="00B814F6" w:rsidRPr="00C03765" w:rsidSect="00FD13D5">
      <w:pgSz w:w="11906" w:h="16838"/>
      <w:pgMar w:top="567" w:right="1418"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DE3" w:rsidRDefault="008E7DE3" w:rsidP="004C15CA">
      <w:r>
        <w:separator/>
      </w:r>
    </w:p>
  </w:endnote>
  <w:endnote w:type="continuationSeparator" w:id="0">
    <w:p w:rsidR="008E7DE3" w:rsidRDefault="008E7DE3" w:rsidP="004C1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DE3" w:rsidRDefault="008E7DE3" w:rsidP="004C15CA">
      <w:r>
        <w:separator/>
      </w:r>
    </w:p>
  </w:footnote>
  <w:footnote w:type="continuationSeparator" w:id="0">
    <w:p w:rsidR="008E7DE3" w:rsidRDefault="008E7DE3" w:rsidP="004C1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031B"/>
    <w:multiLevelType w:val="hybridMultilevel"/>
    <w:tmpl w:val="528642A6"/>
    <w:lvl w:ilvl="0" w:tplc="3A2886C0">
      <w:numFmt w:val="bullet"/>
      <w:lvlText w:val="-"/>
      <w:lvlJc w:val="left"/>
      <w:pPr>
        <w:tabs>
          <w:tab w:val="num" w:pos="720"/>
        </w:tabs>
        <w:ind w:left="720" w:hanging="360"/>
      </w:pPr>
      <w:rPr>
        <w:rFonts w:ascii="Times New Roman" w:eastAsia="Times New Roman" w:hAnsi="Times New Roman" w:cs="Times New Roman" w:hint="default"/>
      </w:rPr>
    </w:lvl>
    <w:lvl w:ilvl="1" w:tplc="427AD204">
      <w:start w:val="1"/>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0B722F0"/>
    <w:multiLevelType w:val="hybridMultilevel"/>
    <w:tmpl w:val="C028617C"/>
    <w:lvl w:ilvl="0" w:tplc="66DEBDA0">
      <w:start w:val="1"/>
      <w:numFmt w:val="upperRoman"/>
      <w:pStyle w:val="Titre2"/>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70AC378F"/>
    <w:multiLevelType w:val="hybridMultilevel"/>
    <w:tmpl w:val="22046D14"/>
    <w:lvl w:ilvl="0" w:tplc="040C0011">
      <w:start w:val="1"/>
      <w:numFmt w:val="decimal"/>
      <w:lvlText w:val="%1)"/>
      <w:lvlJc w:val="left"/>
      <w:pPr>
        <w:tabs>
          <w:tab w:val="num" w:pos="720"/>
        </w:tabs>
        <w:ind w:left="720" w:hanging="360"/>
      </w:pPr>
      <w:rPr>
        <w:rFonts w:hint="default"/>
        <w:i w:val="0"/>
      </w:rPr>
    </w:lvl>
    <w:lvl w:ilvl="1" w:tplc="1326DB68">
      <w:start w:val="1"/>
      <w:numFmt w:val="bullet"/>
      <w:lvlText w:val=""/>
      <w:lvlJc w:val="left"/>
      <w:pPr>
        <w:tabs>
          <w:tab w:val="num" w:pos="1440"/>
        </w:tabs>
        <w:ind w:left="1440" w:hanging="360"/>
      </w:pPr>
      <w:rPr>
        <w:rFonts w:ascii="Symbol" w:eastAsia="Times New Roman" w:hAnsi="Symbol"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A0386"/>
    <w:rsid w:val="00010C88"/>
    <w:rsid w:val="000342BC"/>
    <w:rsid w:val="00037F06"/>
    <w:rsid w:val="00047EF5"/>
    <w:rsid w:val="0008000B"/>
    <w:rsid w:val="000B1292"/>
    <w:rsid w:val="000C7B98"/>
    <w:rsid w:val="000D1D87"/>
    <w:rsid w:val="000E0278"/>
    <w:rsid w:val="00105672"/>
    <w:rsid w:val="00106286"/>
    <w:rsid w:val="001A47FF"/>
    <w:rsid w:val="0020610C"/>
    <w:rsid w:val="00232934"/>
    <w:rsid w:val="00357F46"/>
    <w:rsid w:val="003D6331"/>
    <w:rsid w:val="003E0DEE"/>
    <w:rsid w:val="00457F04"/>
    <w:rsid w:val="004909E3"/>
    <w:rsid w:val="004C15CA"/>
    <w:rsid w:val="00505739"/>
    <w:rsid w:val="005944F3"/>
    <w:rsid w:val="005F0129"/>
    <w:rsid w:val="006053B2"/>
    <w:rsid w:val="00634001"/>
    <w:rsid w:val="006C5ED4"/>
    <w:rsid w:val="00732DDC"/>
    <w:rsid w:val="00773DDA"/>
    <w:rsid w:val="00783E39"/>
    <w:rsid w:val="007856A5"/>
    <w:rsid w:val="007F36C1"/>
    <w:rsid w:val="007F4C60"/>
    <w:rsid w:val="00851189"/>
    <w:rsid w:val="008562EF"/>
    <w:rsid w:val="00877C4C"/>
    <w:rsid w:val="008E7DE3"/>
    <w:rsid w:val="0092182B"/>
    <w:rsid w:val="00966CA9"/>
    <w:rsid w:val="00976B02"/>
    <w:rsid w:val="00A13896"/>
    <w:rsid w:val="00A1469C"/>
    <w:rsid w:val="00A5114E"/>
    <w:rsid w:val="00A56BB0"/>
    <w:rsid w:val="00AF22BB"/>
    <w:rsid w:val="00AF4211"/>
    <w:rsid w:val="00B814F6"/>
    <w:rsid w:val="00C03765"/>
    <w:rsid w:val="00C1235B"/>
    <w:rsid w:val="00C35F8D"/>
    <w:rsid w:val="00C424BD"/>
    <w:rsid w:val="00C94FD6"/>
    <w:rsid w:val="00CA2973"/>
    <w:rsid w:val="00CE1750"/>
    <w:rsid w:val="00D0276F"/>
    <w:rsid w:val="00D51E4F"/>
    <w:rsid w:val="00DA0386"/>
    <w:rsid w:val="00DC116A"/>
    <w:rsid w:val="00E17172"/>
    <w:rsid w:val="00E56EDD"/>
    <w:rsid w:val="00E866A6"/>
    <w:rsid w:val="00F1234A"/>
    <w:rsid w:val="00F9053A"/>
    <w:rsid w:val="00FD13D5"/>
    <w:rsid w:val="00FD57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A6"/>
    <w:rPr>
      <w:sz w:val="24"/>
      <w:szCs w:val="24"/>
    </w:rPr>
  </w:style>
  <w:style w:type="paragraph" w:styleId="Titre1">
    <w:name w:val="heading 1"/>
    <w:basedOn w:val="Normal"/>
    <w:next w:val="Normal"/>
    <w:qFormat/>
    <w:rsid w:val="00E866A6"/>
    <w:pPr>
      <w:keepNext/>
      <w:jc w:val="center"/>
      <w:outlineLvl w:val="0"/>
    </w:pPr>
    <w:rPr>
      <w:b/>
      <w:bCs/>
    </w:rPr>
  </w:style>
  <w:style w:type="paragraph" w:styleId="Titre2">
    <w:name w:val="heading 2"/>
    <w:basedOn w:val="Normal"/>
    <w:next w:val="Normal"/>
    <w:qFormat/>
    <w:rsid w:val="00E866A6"/>
    <w:pPr>
      <w:keepNext/>
      <w:numPr>
        <w:numId w:val="2"/>
      </w:numPr>
      <w:outlineLvl w:val="1"/>
    </w:pPr>
    <w:rPr>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E866A6"/>
    <w:pPr>
      <w:ind w:left="708"/>
      <w:jc w:val="both"/>
    </w:pPr>
    <w:rPr>
      <w:sz w:val="22"/>
    </w:rPr>
  </w:style>
  <w:style w:type="paragraph" w:styleId="En-tte">
    <w:name w:val="header"/>
    <w:basedOn w:val="Normal"/>
    <w:link w:val="En-tteCar"/>
    <w:rsid w:val="004C15CA"/>
    <w:pPr>
      <w:tabs>
        <w:tab w:val="center" w:pos="4536"/>
        <w:tab w:val="right" w:pos="9072"/>
      </w:tabs>
    </w:pPr>
  </w:style>
  <w:style w:type="character" w:customStyle="1" w:styleId="En-tteCar">
    <w:name w:val="En-tête Car"/>
    <w:basedOn w:val="Policepardfaut"/>
    <w:link w:val="En-tte"/>
    <w:rsid w:val="004C15CA"/>
    <w:rPr>
      <w:sz w:val="24"/>
      <w:szCs w:val="24"/>
    </w:rPr>
  </w:style>
  <w:style w:type="paragraph" w:styleId="Pieddepage">
    <w:name w:val="footer"/>
    <w:basedOn w:val="Normal"/>
    <w:link w:val="PieddepageCar"/>
    <w:rsid w:val="004C15CA"/>
    <w:pPr>
      <w:tabs>
        <w:tab w:val="center" w:pos="4536"/>
        <w:tab w:val="right" w:pos="9072"/>
      </w:tabs>
    </w:pPr>
  </w:style>
  <w:style w:type="character" w:customStyle="1" w:styleId="PieddepageCar">
    <w:name w:val="Pied de page Car"/>
    <w:basedOn w:val="Policepardfaut"/>
    <w:link w:val="Pieddepage"/>
    <w:rsid w:val="004C15CA"/>
    <w:rPr>
      <w:sz w:val="24"/>
      <w:szCs w:val="24"/>
    </w:rPr>
  </w:style>
  <w:style w:type="paragraph" w:styleId="Textedebulles">
    <w:name w:val="Balloon Text"/>
    <w:basedOn w:val="Normal"/>
    <w:link w:val="TextedebullesCar"/>
    <w:rsid w:val="000C7B98"/>
    <w:rPr>
      <w:rFonts w:ascii="Tahoma" w:hAnsi="Tahoma" w:cs="Tahoma"/>
      <w:sz w:val="16"/>
      <w:szCs w:val="16"/>
    </w:rPr>
  </w:style>
  <w:style w:type="character" w:customStyle="1" w:styleId="TextedebullesCar">
    <w:name w:val="Texte de bulles Car"/>
    <w:basedOn w:val="Policepardfaut"/>
    <w:link w:val="Textedebulles"/>
    <w:rsid w:val="000C7B98"/>
    <w:rPr>
      <w:rFonts w:ascii="Tahoma" w:hAnsi="Tahoma" w:cs="Tahoma"/>
      <w:sz w:val="16"/>
      <w:szCs w:val="16"/>
    </w:rPr>
  </w:style>
  <w:style w:type="table" w:styleId="Grilledutableau">
    <w:name w:val="Table Grid"/>
    <w:basedOn w:val="TableauNormal"/>
    <w:rsid w:val="00B81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3502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secgestion3</dc:creator>
  <cp:lastModifiedBy>gestion1</cp:lastModifiedBy>
  <cp:revision>2</cp:revision>
  <cp:lastPrinted>2015-04-03T14:46:00Z</cp:lastPrinted>
  <dcterms:created xsi:type="dcterms:W3CDTF">2018-10-11T12:15:00Z</dcterms:created>
  <dcterms:modified xsi:type="dcterms:W3CDTF">2018-10-11T12:15:00Z</dcterms:modified>
</cp:coreProperties>
</file>